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D99" w:rsidRPr="00DA3D99" w:rsidRDefault="00DA3D99" w:rsidP="00DA3D99">
      <w:pPr>
        <w:shd w:val="clear" w:color="auto" w:fill="FFFFFF"/>
        <w:spacing w:after="60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39"/>
          <w:szCs w:val="39"/>
          <w:lang w:eastAsia="ru-RU"/>
        </w:rPr>
      </w:pPr>
      <w:r w:rsidRPr="00DA3D99">
        <w:rPr>
          <w:rFonts w:ascii="Times New Roman" w:eastAsia="Times New Roman" w:hAnsi="Times New Roman" w:cs="Times New Roman"/>
          <w:color w:val="000000"/>
          <w:kern w:val="36"/>
          <w:sz w:val="39"/>
          <w:szCs w:val="39"/>
          <w:lang w:eastAsia="ru-RU"/>
        </w:rPr>
        <w:t>Обзор третьих дополнений и изменений в ФСНБ 2022</w:t>
      </w:r>
    </w:p>
    <w:p w:rsidR="00DA3D99" w:rsidRPr="00DA3D99" w:rsidRDefault="00DA3D99" w:rsidP="00DA3D99">
      <w:pPr>
        <w:shd w:val="clear" w:color="auto" w:fill="FFFFFF"/>
        <w:spacing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A3D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117 новых сметных норм утверждены Приказом Минстроя № 905/</w:t>
      </w:r>
      <w:proofErr w:type="spellStart"/>
      <w:r w:rsidRPr="00DA3D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</w:t>
      </w:r>
      <w:proofErr w:type="spellEnd"/>
      <w:r w:rsidRPr="00DA3D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составе третьего пакета дополнений и изменений в федеральную сметно-нормативную базу ФСНБ-2022. Она вступит в действие с 30 декабря 2022 года. Работа по актуализации базы продолжается, ряд последних нововведений прокомментировали специалисты </w:t>
      </w:r>
      <w:proofErr w:type="spellStart"/>
      <w:r w:rsidRPr="00DA3D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Главгосэкспертизы</w:t>
      </w:r>
      <w:proofErr w:type="spellEnd"/>
      <w:r w:rsidRPr="00DA3D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России.</w:t>
      </w:r>
    </w:p>
    <w:p w:rsidR="00DA3D99" w:rsidRPr="00E53911" w:rsidRDefault="00DA3D99" w:rsidP="00E53911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color w:val="9B9B9B"/>
          <w:sz w:val="17"/>
          <w:szCs w:val="17"/>
          <w:lang w:eastAsia="ru-RU"/>
        </w:rPr>
      </w:pPr>
      <w:r w:rsidRPr="00DA3D99">
        <w:rPr>
          <w:rFonts w:ascii="Times New Roman" w:eastAsia="Times New Roman" w:hAnsi="Times New Roman" w:cs="Times New Roman"/>
          <w:color w:val="9B9B9B"/>
          <w:sz w:val="17"/>
          <w:szCs w:val="17"/>
          <w:lang w:eastAsia="ru-RU"/>
        </w:rPr>
        <w:t>01 ноября 08:29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Сметные нормы, входящие в федеральную сметно-нормативную базу, - это совокупность количественных показателей строительных материалов, изделий, конструкций и оборудования, а также затрат труда работников в строительстве, времени эксплуатации машин и механизмов, установленных на принятую единицу измерения.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«При разработке изменений и дополнений к сметным нормам используются расчетно-аналитический и расчетно-исследовательский методы технического нормирования. При этом работа, связанная с формированием ресурсной части сметно-нормативной базы, традиционно является самой трудоемкой относительно остальных изменений в сметных нормах», – отметил в комментарии Сергей Евсеев, заместитель начальника отдела экспертизы сметных норм Управления сметного нормирования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Главгосэкспертизы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 России.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В целом изменения и дополнения к ФСНБ-2022, утвержденные в течение 2022 года, предусматривают включение 1136 новых строительных ресурсов в сборник «Федеральные сметные цены на материалы, изделия, конструкции и оборудование, применяемые в строительстве в базисном уровне цен» (ФСБЦ), 740 актуализированных строительных материалов, 316 ресурсов предложено к удалению. Также предусмотрены изменения в сборнике «Сметные цены на эксплуатацию машин и механизмов в базисном уровне цен» по 58 машинам и механизмам. В том числе 7 позиций добавлено, в 48 внесены изменения, 3 удалены.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Некоторые из новых сметных норм эксперты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Главгосэкспертизы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 прокомментировали более подробно.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color w:val="3F3F3F"/>
          <w:sz w:val="21"/>
          <w:szCs w:val="21"/>
          <w:bdr w:val="none" w:sz="0" w:space="0" w:color="auto" w:frame="1"/>
          <w:lang w:eastAsia="ru-RU"/>
        </w:rPr>
        <w:t>Обзор некоторых новых норм, учтенных дополнениями и изменениями № 3 к ФСНБ-2022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b/>
          <w:bCs/>
          <w:color w:val="3F3F3F"/>
          <w:sz w:val="21"/>
          <w:szCs w:val="21"/>
          <w:bdr w:val="none" w:sz="0" w:space="0" w:color="auto" w:frame="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color w:val="3F3F3F"/>
          <w:sz w:val="21"/>
          <w:szCs w:val="21"/>
          <w:bdr w:val="none" w:sz="0" w:space="0" w:color="auto" w:frame="1"/>
          <w:lang w:eastAsia="ru-RU"/>
        </w:rPr>
        <w:t>Сборник ГЭСН 11 «Полы»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F3F3F"/>
          <w:sz w:val="21"/>
          <w:szCs w:val="21"/>
          <w:lang w:eastAsia="ru-RU"/>
        </w:rPr>
        <w:lastRenderedPageBreak/>
        <w:drawing>
          <wp:inline distT="0" distB="0" distL="0" distR="0">
            <wp:extent cx="5943600" cy="32683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i/>
          <w:iCs/>
          <w:color w:val="3F3F3F"/>
          <w:sz w:val="21"/>
          <w:szCs w:val="21"/>
          <w:bdr w:val="none" w:sz="0" w:space="0" w:color="auto" w:frame="1"/>
          <w:lang w:eastAsia="ru-RU"/>
        </w:rPr>
        <w:t>Полусухая стяжка</w:t>
      </w: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— это технология выравнивания пола перед финишным покрытием. В растворе для полусухой стяжки содержится минимальное количество воды, необходимое исключительно для обеспечения реакции гидратации цемента. Стяжка сохнет намного быстрее, и чтобы быстрое высыхание не уменьшило прочность покрытия, в ее состав добавляют волокна из фибры, которые укрепляют материал, препятствуют растрескиванию и проседанию. Также в раствор вводят пластификаторы – вещества, позволяющие повысить текучесть без увеличения содержания воды. Благодаря им масса полностью заполняет углы и плотно прилегает к стенам. Стяжка не требует дополнительного выравнивания, шлифуется специальными шлифовально-затирочными машинами непосредственно при укладке.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«Такой способ выравнивания зарекомендовал себя как доступный, быстрый и качественный. Технология позволяет получить идеально ровную поверхность и сократить время строительных работ», – подчеркивают специалисты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Главгосэкспертизы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 России.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color w:val="3F3F3F"/>
          <w:sz w:val="21"/>
          <w:szCs w:val="21"/>
          <w:bdr w:val="none" w:sz="0" w:space="0" w:color="auto" w:frame="1"/>
          <w:lang w:eastAsia="ru-RU"/>
        </w:rPr>
        <w:t>Сборник ГЭСН 15 «Отделочные работы»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color w:val="3F3F3F"/>
          <w:sz w:val="21"/>
          <w:szCs w:val="21"/>
          <w:bdr w:val="none" w:sz="0" w:space="0" w:color="auto" w:frame="1"/>
          <w:lang w:eastAsia="ru-RU"/>
        </w:rPr>
        <w:t>«</w:t>
      </w:r>
      <w:r w:rsidRPr="00DA3D99">
        <w:rPr>
          <w:rFonts w:ascii="Times New Roman" w:eastAsia="Times New Roman" w:hAnsi="Times New Roman" w:cs="Times New Roman"/>
          <w:b/>
          <w:bCs/>
          <w:i/>
          <w:iCs/>
          <w:color w:val="3F3F3F"/>
          <w:sz w:val="21"/>
          <w:szCs w:val="21"/>
          <w:bdr w:val="none" w:sz="0" w:space="0" w:color="auto" w:frame="1"/>
          <w:lang w:eastAsia="ru-RU"/>
        </w:rPr>
        <w:t>Чистые помещения</w:t>
      </w:r>
      <w:r w:rsidRPr="00DA3D99">
        <w:rPr>
          <w:rFonts w:ascii="Times New Roman" w:eastAsia="Times New Roman" w:hAnsi="Times New Roman" w:cs="Times New Roman"/>
          <w:b/>
          <w:bCs/>
          <w:color w:val="3F3F3F"/>
          <w:sz w:val="21"/>
          <w:szCs w:val="21"/>
          <w:bdr w:val="none" w:sz="0" w:space="0" w:color="auto" w:frame="1"/>
          <w:lang w:eastAsia="ru-RU"/>
        </w:rPr>
        <w:t>»</w:t>
      </w: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широко применяются в электронной, приборостроительной, фармацевтической, пищевой и других отраслях промышленности, в производстве медицинских изделий, в больницах и т.д. Они стали неотъемлемой частью многих современных процессов и средством защиты человека, материалов и продукции от загрязнений.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«Чистые помещения» обладают существенными особенностями, которые заключаются в обеспечении, прежде всего, высокой чистоты воздуха, чего невозможно достигнуть обычными методами строительства, а также общепромышленными материалами и конструкциями.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lastRenderedPageBreak/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Так, например, особенностью монтажа «чистых помещений», которая не отражена в стандартах, являются </w:t>
      </w:r>
      <w:r w:rsidRPr="00DA3D99">
        <w:rPr>
          <w:rFonts w:ascii="Times New Roman" w:eastAsia="Times New Roman" w:hAnsi="Times New Roman" w:cs="Times New Roman"/>
          <w:b/>
          <w:bCs/>
          <w:i/>
          <w:iCs/>
          <w:color w:val="3F3F3F"/>
          <w:sz w:val="21"/>
          <w:szCs w:val="21"/>
          <w:bdr w:val="none" w:sz="0" w:space="0" w:color="auto" w:frame="1"/>
          <w:lang w:eastAsia="ru-RU"/>
        </w:rPr>
        <w:t>протоколы чистоты.</w:t>
      </w: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Они требуют поэтапного повышения требований к соблюдению условий чистоты в процессе монтажа на разных его стадиях.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i/>
          <w:iCs/>
          <w:color w:val="3F3F3F"/>
          <w:sz w:val="21"/>
          <w:szCs w:val="21"/>
          <w:bdr w:val="none" w:sz="0" w:space="0" w:color="auto" w:frame="1"/>
          <w:lang w:eastAsia="ru-RU"/>
        </w:rPr>
        <w:t>Потолочные панели</w:t>
      </w: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предназначены для решения задач по устройству герметичных подшивных потолков в «чистых помещениях». Это необходимо для обеспечения герметичного стыка контура ограждающих конструкций с ровной и гладкой поверхностью, устойчивой к обработке моющими и дезинфицирующими средствами.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i/>
          <w:iCs/>
          <w:color w:val="3F3F3F"/>
          <w:sz w:val="21"/>
          <w:szCs w:val="21"/>
          <w:bdr w:val="none" w:sz="0" w:space="0" w:color="auto" w:frame="1"/>
          <w:lang w:eastAsia="ru-RU"/>
        </w:rPr>
        <w:t>Скругляющий потолочный профиль</w:t>
      </w: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предназначен для решения задачи минимизации острых и прямых углов в чистых помещениях. Кроме того, они облегчают уборку и обработку помещений дезинфицирующими средствами.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Для разработки данных сметных норм специалисты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Главгосэкспертизы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 провели мероприятия по техническому нормированию работ по монтажу потолочных панелей и монтажу скругляющего потолочного профиля в «чистых помещениях» на строительных объектах города Москвы. Таким образом, в новых сметных нормах учтены оптимальные технологические и организационные схемы производства работ, а также перечень машин, механизмов и материальных ресурсов, необходимых при рациональной организации труда и производства с учетом современного развития техники и технологий.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3D0384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F3F3F"/>
          <w:sz w:val="21"/>
          <w:szCs w:val="21"/>
          <w:lang w:eastAsia="ru-RU"/>
        </w:rPr>
        <w:drawing>
          <wp:inline distT="0" distB="0" distL="0" distR="0">
            <wp:extent cx="5934075" cy="311277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color w:val="3F3F3F"/>
          <w:sz w:val="21"/>
          <w:szCs w:val="21"/>
          <w:bdr w:val="none" w:sz="0" w:space="0" w:color="auto" w:frame="1"/>
          <w:lang w:eastAsia="ru-RU"/>
        </w:rPr>
        <w:t>Сборник ГЭСН 23 «Канализация - наружные сети»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i/>
          <w:iCs/>
          <w:color w:val="3F3F3F"/>
          <w:sz w:val="21"/>
          <w:szCs w:val="21"/>
          <w:bdr w:val="none" w:sz="0" w:space="0" w:color="auto" w:frame="1"/>
          <w:lang w:eastAsia="ru-RU"/>
        </w:rPr>
        <w:t>Укладка трубопроводов канализации из труб полиэтиленовых</w:t>
      </w: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 с двухслойной профилированной стенкой, имеющих раструбы с желобками, осуществляются с помощью резиновых уплотнительных колец следующим образом. Соединение труб производится непосредственно в траншее. Край трубы, </w:t>
      </w: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lastRenderedPageBreak/>
        <w:t>раструб и уплотнительное кольцо должны быть предварительно очищены чистой тканью от масла, грунта, песка и пр. Уплотнительное кольцо устанавливают в первую впадину между гофрами. Внутреннюю поверхность раструба и наружную поверхность уплотнительного кольца необходимо покрыть водоотталкивающей смазкой на основе силикона, отметить маркером на конце трубы глубину захода в раструб и задвинуть трубу в раструб по отметке (до упора). Сборка соединения проводится с применением стяжных ремней или иных приспособлений.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«Такой способ востребован за счет удобства монтажа, а также компенсацией механических и температурных деформаций трубопровода во время эксплуатации без потери герметичности», – прокомментировали специалисты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Главгосэкспертизы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 России.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376683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F3F3F"/>
          <w:sz w:val="21"/>
          <w:szCs w:val="21"/>
          <w:lang w:eastAsia="ru-RU"/>
        </w:rPr>
        <w:drawing>
          <wp:inline distT="0" distB="0" distL="0" distR="0">
            <wp:extent cx="5934075" cy="299593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color w:val="3F3F3F"/>
          <w:sz w:val="21"/>
          <w:szCs w:val="21"/>
          <w:bdr w:val="none" w:sz="0" w:space="0" w:color="auto" w:frame="1"/>
          <w:lang w:eastAsia="ru-RU"/>
        </w:rPr>
        <w:t>Сборник ГЭСН 29 «Тоннели и метрополитены»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i/>
          <w:iCs/>
          <w:color w:val="3F3F3F"/>
          <w:sz w:val="21"/>
          <w:szCs w:val="21"/>
          <w:bdr w:val="none" w:sz="0" w:space="0" w:color="auto" w:frame="1"/>
          <w:lang w:eastAsia="ru-RU"/>
        </w:rPr>
        <w:t>Шпалы из композитных материалов</w:t>
      </w: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изготавливаются из полностью переработанного пластика разного типа и обладают уникальными эксплуатационными характеристиками. Главные преимущества таких шпал: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- долговечность (срок службы составляет 50 лет);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-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экологичность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 (возможность стопроцентной переработки в новые шпалы по окончании срока эксплуатации и отсутствие проблем с их утилизацией);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- устойчивость к агрессивным средам (материал одновременно является электроизолирующим материалом и устойчив к воздействиям технических масел и солей);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- снижение шума и вибрации при движении поездов.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lastRenderedPageBreak/>
        <w:t xml:space="preserve">«Монтаж рельсошпальной решетки на композитных шпалах существенно снизит затраты на обслуживание, содержание и ремонт пути, так как они обладают повышенной ремонтопригодностью за счет заливки специальных композитов в разработанные отверстия», – подчеркивают специалисты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Главгосэкспертизы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Главные преимущества монтажа рельсошпальной решетки на железобетонных лежнях: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- долгий срок службы (40-50 лет);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- высокая устойчивость пути;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- плавность движения поездов;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- снижение уровня вибрации.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В данном случае плавность хода обеспечивается перемещением лежней вместе с рельсами на нужные величины. Также упрощается регулировка ширины пути.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4646DD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F3F3F"/>
          <w:sz w:val="21"/>
          <w:szCs w:val="21"/>
          <w:lang w:eastAsia="ru-RU"/>
        </w:rPr>
        <w:drawing>
          <wp:inline distT="0" distB="0" distL="0" distR="0">
            <wp:extent cx="5934075" cy="297688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color w:val="3F3F3F"/>
          <w:sz w:val="21"/>
          <w:szCs w:val="21"/>
          <w:bdr w:val="none" w:sz="0" w:space="0" w:color="auto" w:frame="1"/>
          <w:lang w:eastAsia="ru-RU"/>
        </w:rPr>
        <w:t>Сборник ГЭСН 30 «Мосты и трубы»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Новые сметные нормы учитывают затраты на устройство подпорных стенок из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габионных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 конструкций, собираемых из панелей при помощи резьбовых элементов скрепления. Пори этом затраты выделены в четыре отдельные нормы: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- на устройство оснований под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габионные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 конструкции из щебня с послойным уплотнением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виброплитами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,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lastRenderedPageBreak/>
        <w:t>- засыпку пазух песком с послойным уплотнением,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-устройство подпорных стенок с загрузкой камня механизированным способом после их установки в проектное положение,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- устройство подпорных стенок с загрузкой камня механизированным способом с последующей их установкой в проектное положение при помощи подъемного крана.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  <w:r w:rsidR="00D46537">
        <w:rPr>
          <w:rFonts w:ascii="Times New Roman" w:eastAsia="Times New Roman" w:hAnsi="Times New Roman" w:cs="Times New Roman"/>
          <w:noProof/>
          <w:color w:val="3F3F3F"/>
          <w:sz w:val="21"/>
          <w:szCs w:val="21"/>
          <w:lang w:eastAsia="ru-RU"/>
        </w:rPr>
        <w:drawing>
          <wp:inline distT="0" distB="0" distL="0" distR="0">
            <wp:extent cx="5934075" cy="3006090"/>
            <wp:effectExtent l="0" t="0" r="952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color w:val="3F3F3F"/>
          <w:sz w:val="21"/>
          <w:szCs w:val="21"/>
          <w:bdr w:val="none" w:sz="0" w:space="0" w:color="auto" w:frame="1"/>
          <w:lang w:eastAsia="ru-RU"/>
        </w:rPr>
        <w:t>Сборник ГЭСН 46 «Работы при реконструкции зданий и сооружений»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Новые нормы на демонтаж железобетонных конструкций учитывают производство работ при помощи современного навесного оборудования –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гидроножниц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 и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гидромолота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, которые устанавливаются на стрелу экскаватора. Разрушение железобетона выполняется при помощи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гидромолота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 и внутренних зубьев (наконечников)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гидроножниц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, а резка арматуры – при помощи ножей (лезвий) на внутренний поверхности «челюсти»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гидроножниц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«Обрушенные таким образом фрагменты конструкций перемещаются и разукрупняются с помощью специального оборудования или так называемым «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разукрупнителем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». Нормы учитывают также вспомогательные работы по замене навесного оборудования», – отметили эксперты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Главгосэкспертизы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lastRenderedPageBreak/>
        <w:t> </w:t>
      </w:r>
      <w:r w:rsidR="001554F6">
        <w:rPr>
          <w:rFonts w:ascii="Times New Roman" w:eastAsia="Times New Roman" w:hAnsi="Times New Roman" w:cs="Times New Roman"/>
          <w:noProof/>
          <w:color w:val="3F3F3F"/>
          <w:sz w:val="21"/>
          <w:szCs w:val="21"/>
          <w:lang w:eastAsia="ru-RU"/>
        </w:rPr>
        <w:drawing>
          <wp:inline distT="0" distB="0" distL="0" distR="0">
            <wp:extent cx="5934075" cy="3035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color w:val="3F3F3F"/>
          <w:sz w:val="21"/>
          <w:szCs w:val="21"/>
          <w:bdr w:val="none" w:sz="0" w:space="0" w:color="auto" w:frame="1"/>
          <w:lang w:eastAsia="ru-RU"/>
        </w:rPr>
        <w:t xml:space="preserve">Сборник </w:t>
      </w:r>
      <w:proofErr w:type="spellStart"/>
      <w:r w:rsidRPr="00DA3D99">
        <w:rPr>
          <w:rFonts w:ascii="Times New Roman" w:eastAsia="Times New Roman" w:hAnsi="Times New Roman" w:cs="Times New Roman"/>
          <w:b/>
          <w:bCs/>
          <w:color w:val="3F3F3F"/>
          <w:sz w:val="21"/>
          <w:szCs w:val="21"/>
          <w:bdr w:val="none" w:sz="0" w:space="0" w:color="auto" w:frame="1"/>
          <w:lang w:eastAsia="ru-RU"/>
        </w:rPr>
        <w:t>ГЭСНм</w:t>
      </w:r>
      <w:proofErr w:type="spellEnd"/>
      <w:r w:rsidRPr="00DA3D99">
        <w:rPr>
          <w:rFonts w:ascii="Times New Roman" w:eastAsia="Times New Roman" w:hAnsi="Times New Roman" w:cs="Times New Roman"/>
          <w:b/>
          <w:bCs/>
          <w:color w:val="3F3F3F"/>
          <w:sz w:val="21"/>
          <w:szCs w:val="21"/>
          <w:bdr w:val="none" w:sz="0" w:space="0" w:color="auto" w:frame="1"/>
          <w:lang w:eastAsia="ru-RU"/>
        </w:rPr>
        <w:t xml:space="preserve"> 8 «Электротехнические установки»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На основании предложения Ассоциации «Национальное объединение строителей» (НОСТРОЙ) и поступившего на портал Федеральной государственной информационной системы ценообразования в строительстве (ФГИС ЦС) обращения от профессионального сообщества были разработаны новые сметные нормы с учетом применения в строительстве современных концевых термоусаживаемых муфт для одно- и трехжильных кабелей с изоляцией из сшитого полиэтилена.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b/>
          <w:bCs/>
          <w:i/>
          <w:iCs/>
          <w:color w:val="3F3F3F"/>
          <w:sz w:val="21"/>
          <w:szCs w:val="21"/>
          <w:bdr w:val="none" w:sz="0" w:space="0" w:color="auto" w:frame="1"/>
          <w:lang w:eastAsia="ru-RU"/>
        </w:rPr>
        <w:t>Муфты концевые термоусаживаемые</w:t>
      </w: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 предназначены для подсоединения силовых кабелей к электроустановкам, линиям электропередачи и защитной аппаратуре и подразделяются на муфты внутренней и наружной установки. Они применяются для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оконцевания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 одножильных и трехжильных кабелей с пластмассовой изоляцией медным проволочным экраном со стальной ленточной броней или без брони на напряжение до 10 кВ.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Для разработки данных сметных норм специалисты 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Главгосэкспертизы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 России провели мероприятия по техническому нормированию работ по монтажу концевых муфт. Работы проводились совместно с представителями НОСТРОЙ в Кемеровской области и в городе Москве.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Результаты нормативных наблюдений учтены при разработке 10 сметных норм, которые в свою очередь дифференцированы: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-  по количеству жил кабеля для концевых муфт (для одно- и трехжильных кабелей),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- по типу кабеля (для небронированных и бронированных кабелей),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lastRenderedPageBreak/>
        <w:t>- по способу установки (внутренняя и наружная) и сечениям жил кабеля (до 50 мм</w:t>
      </w:r>
      <w:r w:rsidRPr="00DA3D99">
        <w:rPr>
          <w:rFonts w:ascii="Times New Roman" w:eastAsia="Times New Roman" w:hAnsi="Times New Roman" w:cs="Times New Roman"/>
          <w:color w:val="3F3F3F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, свыше 50 до 120 мм</w:t>
      </w:r>
      <w:r w:rsidRPr="00DA3D99">
        <w:rPr>
          <w:rFonts w:ascii="Times New Roman" w:eastAsia="Times New Roman" w:hAnsi="Times New Roman" w:cs="Times New Roman"/>
          <w:color w:val="3F3F3F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, свыше 120 до 240 мм</w:t>
      </w:r>
      <w:r w:rsidRPr="00DA3D99">
        <w:rPr>
          <w:rFonts w:ascii="Times New Roman" w:eastAsia="Times New Roman" w:hAnsi="Times New Roman" w:cs="Times New Roman"/>
          <w:color w:val="3F3F3F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).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Таким образом, новые сметные нормы учитывают полный комплекс работ по монтажу муфт концевых термоусаживаемых, а также оптимальные технологические и организационные схемы производства работ, перечень машин, механизмов и материальных ресурсов при рациональной организации труда и производства и с учетом современного развития техники и технологии.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317F40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F3F3F"/>
          <w:sz w:val="21"/>
          <w:szCs w:val="21"/>
          <w:lang w:eastAsia="ru-RU"/>
        </w:rPr>
        <w:drawing>
          <wp:inline distT="0" distB="0" distL="0" distR="0">
            <wp:extent cx="5934075" cy="3180715"/>
            <wp:effectExtent l="0" t="0" r="952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Подробнее с изменениями, внесенными в ФСНБ 2022, можно ознакомиться на сайте Федеральной государственной информационной системы ценообразования в строительстве (ФГИС ЦС) </w:t>
      </w:r>
      <w:hyperlink r:id="rId11" w:anchor="/frsn/fsnb/project" w:history="1">
        <w:r w:rsidRPr="00DA3D99">
          <w:rPr>
            <w:rFonts w:ascii="Times New Roman" w:eastAsia="Times New Roman" w:hAnsi="Times New Roman" w:cs="Times New Roman"/>
            <w:color w:val="5985B9"/>
            <w:sz w:val="21"/>
            <w:szCs w:val="21"/>
            <w:u w:val="single"/>
            <w:bdr w:val="none" w:sz="0" w:space="0" w:color="auto" w:frame="1"/>
            <w:lang w:eastAsia="ru-RU"/>
          </w:rPr>
          <w:t>по ссылке</w:t>
        </w:r>
      </w:hyperlink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. Кроме того, ФГИС ЦС содержит форму для направления замечаний и предложений к ФСНБ-2022, не предполагающую предоставление ответа. Все поступающие предложения и замечания будут отработаны и, при необходимости, учтены в очередных дополнениях и изменениях к ФСНБ-2022.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Обращаем внимание, что для разработчиков сметных программных комплексов на сайте ФГИС ЦС в ближайшее время будет размещена ФСНБ-2022 в формате открытых данных с учетом дополнений и изменений №№ 1, 2 и 3.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 </w:t>
      </w:r>
    </w:p>
    <w:p w:rsidR="00DA3D99" w:rsidRPr="00DA3D99" w:rsidRDefault="00DA3D99" w:rsidP="00DA3D99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Ознакомиться с приказом Минстроя России от 26 октября № 905/</w:t>
      </w:r>
      <w:proofErr w:type="spellStart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пр</w:t>
      </w:r>
      <w:proofErr w:type="spellEnd"/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 xml:space="preserve"> и скачать его возможно на официальном сайте </w:t>
      </w:r>
      <w:hyperlink r:id="rId12" w:anchor="/frsn/reference/70271eb5-4a4f-4f75-9834-187f54079f4c" w:history="1">
        <w:r w:rsidRPr="00DA3D99">
          <w:rPr>
            <w:rFonts w:ascii="Times New Roman" w:eastAsia="Times New Roman" w:hAnsi="Times New Roman" w:cs="Times New Roman"/>
            <w:color w:val="5985B9"/>
            <w:sz w:val="21"/>
            <w:szCs w:val="21"/>
            <w:u w:val="single"/>
            <w:bdr w:val="none" w:sz="0" w:space="0" w:color="auto" w:frame="1"/>
            <w:lang w:eastAsia="ru-RU"/>
          </w:rPr>
          <w:t>ФГИС ЦС</w:t>
        </w:r>
      </w:hyperlink>
      <w:r w:rsidRPr="00DA3D99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.</w:t>
      </w:r>
    </w:p>
    <w:p w:rsidR="00244EE4" w:rsidRDefault="00244EE4"/>
    <w:sectPr w:rsidR="00244EE4" w:rsidSect="00CB0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94D00"/>
    <w:rsid w:val="001554F6"/>
    <w:rsid w:val="00231C06"/>
    <w:rsid w:val="00244EE4"/>
    <w:rsid w:val="00317F40"/>
    <w:rsid w:val="00376683"/>
    <w:rsid w:val="003D0384"/>
    <w:rsid w:val="004646DD"/>
    <w:rsid w:val="0064097A"/>
    <w:rsid w:val="00694D00"/>
    <w:rsid w:val="00CB0BF6"/>
    <w:rsid w:val="00D46537"/>
    <w:rsid w:val="00DA3D99"/>
    <w:rsid w:val="00E53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6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61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382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814910559">
              <w:marLeft w:val="0"/>
              <w:marRight w:val="27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823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fgiscs.minstroyrf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fgiscs.minstroyrf.ru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1706</Words>
  <Characters>9728</Characters>
  <Application>Microsoft Office Word</Application>
  <DocSecurity>0</DocSecurity>
  <Lines>81</Lines>
  <Paragraphs>22</Paragraphs>
  <ScaleCrop>false</ScaleCrop>
  <Company/>
  <LinksUpToDate>false</LinksUpToDate>
  <CharactersWithSpaces>11412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adm2</dc:creator>
  <cp:keywords/>
  <dc:description/>
  <cp:lastModifiedBy>User</cp:lastModifiedBy>
  <cp:revision>12</cp:revision>
  <dcterms:created xsi:type="dcterms:W3CDTF">2022-11-15T13:42:00Z</dcterms:created>
  <dcterms:modified xsi:type="dcterms:W3CDTF">2022-11-15T19:12:00Z</dcterms:modified>
</cp:coreProperties>
</file>